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C9" w:rsidRDefault="00B857FE">
      <w:pPr>
        <w:pStyle w:val="BodyText"/>
        <w:ind w:left="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62696" cy="4754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9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4C9" w:rsidRDefault="00DF389D">
      <w:pPr>
        <w:pStyle w:val="Title"/>
      </w:pPr>
      <w:r>
        <w:pict>
          <v:group id="_x0000_s1033" style="position:absolute;left:0;text-align:left;margin-left:0;margin-top:55.65pt;width:612pt;height:169.8pt;z-index:15729152;mso-position-horizontal-relative:page" coordorigin=",1113" coordsize="12240,3396">
            <v:rect id="_x0000_s1036" style="position:absolute;top:1112;width:12240;height:3396" fillcolor="#0e1842" stroked="f"/>
            <v:shape id="_x0000_s1035" style="position:absolute;left:10162;top:1828;width:942;height:1896" coordorigin="10162,1829" coordsize="942,1896" o:spt="100" adj="0,,0" path="m10631,1829r-76,7l10483,1853r-67,29l10354,1920r-54,47l10253,2022r-39,61l10186,2150r-18,73l10162,2299r6,74l10185,2444r29,67l10251,2573r47,55l10353,2676r62,39l10483,2744r,981l10780,3725r,-34l10517,3691r,-972l10505,2715r-75,-31l10364,2641r-57,-53l10260,2525r-35,-71l10204,2379r-8,-80l10203,2220r20,-73l10256,2079r43,-61l10351,1966r61,-43l10480,1891r73,-21l10631,1863r172,l10779,1853r-72,-17l10631,1829xm11104,2907r-206,l10932,2941r138,l11070,3138r-324,l10746,3349r324,l11070,3546r-324,l10746,3691r34,l10780,3580r324,l11104,3315r-324,l10780,3172r324,l11104,2907xm10803,1863r-172,l10709,1870r74,21l10851,1923r61,43l10964,2018r43,61l11039,2147r21,73l11067,2299r-8,80l11037,2454r-35,71l10956,2588r-57,53l10832,2684r-74,31l10746,2719r,205l10780,2924r,-180l10848,2715r62,-39l10965,2628r46,-56l11049,2511r28,-67l11095,2373r6,-74l11094,2223r-17,-73l11048,2083r-38,-61l10963,1967r-55,-47l10847,1882r-44,-19xm10631,2046r-79,13l10482,2095r-54,55l10392,2219r-13,80l10392,2378r36,69l10482,2502r70,36l10631,2551r80,-13l10752,2517r-121,l10562,2506r-60,-31l10455,2427r-31,-59l10413,2299r11,-69l10455,2170r47,-47l10562,2092r69,-12l10752,2080r-41,-21l10631,2046xm10850,2178r,121l10838,2368r-31,59l10760,2475r-60,31l10631,2517r121,l10780,2502r55,-55l10871,2378r12,-79l10871,2219r-21,-41xm10752,2080r-121,l10700,2092r60,31l10807,2170r31,60l10850,2299r,-121l10835,2150r-55,-55l10752,2080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top:1112;width:12240;height:3396" filled="f" stroked="f">
              <v:textbox inset="0,0,0,0">
                <w:txbxContent>
                  <w:p w:rsidR="008914C9" w:rsidRDefault="008914C9">
                    <w:pPr>
                      <w:spacing w:before="7"/>
                      <w:rPr>
                        <w:i/>
                        <w:sz w:val="21"/>
                      </w:rPr>
                    </w:pPr>
                  </w:p>
                  <w:p w:rsidR="008914C9" w:rsidRDefault="00B857FE">
                    <w:pPr>
                      <w:spacing w:line="300" w:lineRule="auto"/>
                      <w:ind w:left="276" w:right="2356" w:firstLine="55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 xml:space="preserve">Joint Commission International is implementing </w:t>
                    </w:r>
                    <w:r>
                      <w:rPr>
                        <w:i/>
                        <w:color w:val="FFFFFF"/>
                        <w:w w:val="95"/>
                        <w:sz w:val="24"/>
                      </w:rPr>
                      <w:t xml:space="preserve">Survey Analysis for Evaluating Risk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(</w:t>
                    </w:r>
                    <w:r>
                      <w:rPr>
                        <w:i/>
                        <w:color w:val="FFFFFF"/>
                        <w:w w:val="95"/>
                        <w:sz w:val="24"/>
                      </w:rPr>
                      <w:t>SAFER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)</w:t>
                    </w:r>
                    <w:r>
                      <w:rPr>
                        <w:color w:val="FFFFFF"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Matrix to provide health care organizations with the information they need to prioritize resources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 xml:space="preserve">and focus corrective action plans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in areas that are most in need of compliance activities and</w:t>
                    </w:r>
                    <w:r>
                      <w:rPr>
                        <w:color w:val="FFFFFF"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interventions.</w:t>
                    </w:r>
                    <w:r>
                      <w:rPr>
                        <w:color w:val="FFFFFF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Each</w:t>
                    </w:r>
                    <w:r>
                      <w:rPr>
                        <w:color w:val="FFFFFF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finding</w:t>
                    </w:r>
                    <w:r>
                      <w:rPr>
                        <w:color w:val="FFFFFF"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within</w:t>
                    </w:r>
                    <w:r>
                      <w:rPr>
                        <w:color w:val="FFFFFF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FFFFFF"/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final</w:t>
                    </w:r>
                    <w:r>
                      <w:rPr>
                        <w:color w:val="FFFFFF"/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report</w:t>
                    </w:r>
                    <w:r>
                      <w:rPr>
                        <w:color w:val="FFFFFF"/>
                        <w:spacing w:val="-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will</w:t>
                    </w:r>
                    <w:r>
                      <w:rPr>
                        <w:color w:val="FFFFFF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>be plotted</w:t>
                    </w:r>
                    <w:r>
                      <w:rPr>
                        <w:color w:val="FFFFFF"/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on</w:t>
                    </w:r>
                    <w:r>
                      <w:rPr>
                        <w:color w:val="FFFFFF"/>
                        <w:spacing w:val="-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the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  <w:sz w:val="24"/>
                      </w:rPr>
                      <w:t>SAFER</w:t>
                    </w:r>
                    <w:r>
                      <w:rPr>
                        <w:i/>
                        <w:color w:val="FFFFFF"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Matrix</w:t>
                    </w:r>
                    <w:r>
                      <w:rPr>
                        <w:color w:val="FFFFFF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according</w:t>
                    </w:r>
                    <w:r>
                      <w:rPr>
                        <w:color w:val="FFFFFF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to</w:t>
                    </w:r>
                    <w:r>
                      <w:rPr>
                        <w:color w:val="FFFFFF"/>
                        <w:spacing w:val="-5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the likelihood the finding could cause harm to patient(s), staff, and/or visitor(s) and the scope at</w:t>
                    </w:r>
                    <w:r>
                      <w:rPr>
                        <w:color w:val="FFFFFF"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 xml:space="preserve">which the finding was observed.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As the risk level of a finding increases, the placement of the</w:t>
                    </w:r>
                    <w:r w:rsidR="00BD248A">
                      <w:rPr>
                        <w:color w:val="FFFFFF"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5"/>
                        <w:sz w:val="24"/>
                      </w:rPr>
                      <w:t xml:space="preserve">standard and finding moves from the bottom left corner (lowest risk level) to the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upper right</w:t>
                    </w:r>
                    <w:r>
                      <w:rPr>
                        <w:color w:val="FFFFFF"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(highest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risk</w:t>
                    </w:r>
                    <w:r>
                      <w:rPr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level)</w:t>
                    </w:r>
                    <w:r w:rsidR="00BD248A">
                      <w:rPr>
                        <w:color w:val="FFFFFF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B857FE">
        <w:rPr>
          <w:color w:val="0E1842"/>
          <w:spacing w:val="-15"/>
          <w:w w:val="99"/>
        </w:rPr>
        <w:t>S</w:t>
      </w:r>
      <w:r w:rsidR="00B857FE">
        <w:rPr>
          <w:color w:val="0E1842"/>
          <w:spacing w:val="-8"/>
          <w:w w:val="99"/>
        </w:rPr>
        <w:t>u</w:t>
      </w:r>
      <w:r w:rsidR="00B857FE">
        <w:rPr>
          <w:color w:val="0E1842"/>
          <w:spacing w:val="22"/>
          <w:w w:val="92"/>
        </w:rPr>
        <w:t>r</w:t>
      </w:r>
      <w:r w:rsidR="00B857FE">
        <w:rPr>
          <w:color w:val="0E1842"/>
          <w:spacing w:val="-9"/>
          <w:w w:val="96"/>
        </w:rPr>
        <w:t>v</w:t>
      </w:r>
      <w:r w:rsidR="00B857FE">
        <w:rPr>
          <w:color w:val="0E1842"/>
          <w:spacing w:val="-18"/>
          <w:w w:val="97"/>
        </w:rPr>
        <w:t>e</w:t>
      </w:r>
      <w:r w:rsidR="00B857FE">
        <w:rPr>
          <w:color w:val="0E1842"/>
          <w:w w:val="94"/>
        </w:rPr>
        <w:t>y</w:t>
      </w:r>
      <w:r w:rsidR="00B857FE">
        <w:rPr>
          <w:color w:val="0E1842"/>
          <w:spacing w:val="-2"/>
        </w:rPr>
        <w:t xml:space="preserve"> </w:t>
      </w:r>
      <w:r w:rsidR="00B857FE">
        <w:rPr>
          <w:color w:val="0E1842"/>
          <w:spacing w:val="-5"/>
          <w:w w:val="97"/>
        </w:rPr>
        <w:t>A</w:t>
      </w:r>
      <w:r w:rsidR="00B857FE">
        <w:rPr>
          <w:color w:val="0E1842"/>
          <w:spacing w:val="-7"/>
          <w:w w:val="97"/>
        </w:rPr>
        <w:t>n</w:t>
      </w:r>
      <w:r w:rsidR="00B857FE">
        <w:rPr>
          <w:color w:val="0E1842"/>
          <w:spacing w:val="-4"/>
          <w:w w:val="97"/>
        </w:rPr>
        <w:t>a</w:t>
      </w:r>
      <w:r w:rsidR="00B857FE">
        <w:rPr>
          <w:color w:val="0E1842"/>
          <w:spacing w:val="-4"/>
          <w:w w:val="95"/>
        </w:rPr>
        <w:t>l</w:t>
      </w:r>
      <w:r w:rsidR="00B857FE">
        <w:rPr>
          <w:color w:val="0E1842"/>
          <w:spacing w:val="4"/>
          <w:w w:val="94"/>
        </w:rPr>
        <w:t>y</w:t>
      </w:r>
      <w:r w:rsidR="00B857FE">
        <w:rPr>
          <w:color w:val="0E1842"/>
          <w:w w:val="96"/>
        </w:rPr>
        <w:t>s</w:t>
      </w:r>
      <w:r w:rsidR="00B857FE">
        <w:rPr>
          <w:color w:val="0E1842"/>
          <w:spacing w:val="-4"/>
          <w:w w:val="95"/>
        </w:rPr>
        <w:t>i</w:t>
      </w:r>
      <w:r w:rsidR="00B857FE">
        <w:rPr>
          <w:color w:val="0E1842"/>
          <w:w w:val="96"/>
        </w:rPr>
        <w:t>s</w:t>
      </w:r>
      <w:r w:rsidR="00B857FE">
        <w:rPr>
          <w:color w:val="0E1842"/>
          <w:spacing w:val="-7"/>
        </w:rPr>
        <w:t xml:space="preserve"> </w:t>
      </w:r>
      <w:r w:rsidR="00B857FE">
        <w:rPr>
          <w:color w:val="0E1842"/>
          <w:spacing w:val="-5"/>
          <w:w w:val="97"/>
        </w:rPr>
        <w:t>f</w:t>
      </w:r>
      <w:r w:rsidR="00B857FE">
        <w:rPr>
          <w:color w:val="0E1842"/>
          <w:spacing w:val="-6"/>
          <w:w w:val="95"/>
        </w:rPr>
        <w:t>o</w:t>
      </w:r>
      <w:r w:rsidR="00B857FE">
        <w:rPr>
          <w:color w:val="0E1842"/>
          <w:w w:val="95"/>
        </w:rPr>
        <w:t>r</w:t>
      </w:r>
      <w:r w:rsidR="00B857FE">
        <w:rPr>
          <w:color w:val="0E1842"/>
          <w:spacing w:val="1"/>
        </w:rPr>
        <w:t xml:space="preserve"> </w:t>
      </w:r>
      <w:r w:rsidR="00B857FE">
        <w:rPr>
          <w:color w:val="0E1842"/>
          <w:spacing w:val="-4"/>
          <w:w w:val="97"/>
        </w:rPr>
        <w:t>E</w:t>
      </w:r>
      <w:r w:rsidR="00B857FE">
        <w:rPr>
          <w:color w:val="0E1842"/>
          <w:spacing w:val="-4"/>
          <w:w w:val="96"/>
        </w:rPr>
        <w:t>v</w:t>
      </w:r>
      <w:r w:rsidR="00B857FE">
        <w:rPr>
          <w:color w:val="0E1842"/>
          <w:spacing w:val="-4"/>
          <w:w w:val="97"/>
        </w:rPr>
        <w:t>a</w:t>
      </w:r>
      <w:r w:rsidR="00B857FE">
        <w:rPr>
          <w:color w:val="0E1842"/>
          <w:spacing w:val="-1"/>
          <w:w w:val="95"/>
        </w:rPr>
        <w:t>l</w:t>
      </w:r>
      <w:r w:rsidR="00B857FE">
        <w:rPr>
          <w:color w:val="0E1842"/>
          <w:spacing w:val="-10"/>
          <w:w w:val="99"/>
        </w:rPr>
        <w:t>u</w:t>
      </w:r>
      <w:r w:rsidR="00B857FE">
        <w:rPr>
          <w:color w:val="0E1842"/>
          <w:spacing w:val="-4"/>
          <w:w w:val="97"/>
        </w:rPr>
        <w:t>at</w:t>
      </w:r>
      <w:r w:rsidR="00B857FE">
        <w:rPr>
          <w:color w:val="0E1842"/>
          <w:spacing w:val="-1"/>
          <w:w w:val="95"/>
        </w:rPr>
        <w:t>i</w:t>
      </w:r>
      <w:r w:rsidR="00B857FE">
        <w:rPr>
          <w:color w:val="0E1842"/>
          <w:spacing w:val="-7"/>
          <w:w w:val="97"/>
        </w:rPr>
        <w:t>n</w:t>
      </w:r>
      <w:r w:rsidR="00B857FE">
        <w:rPr>
          <w:color w:val="0E1842"/>
          <w:w w:val="99"/>
        </w:rPr>
        <w:t>g</w:t>
      </w:r>
      <w:r w:rsidR="00B857FE">
        <w:rPr>
          <w:color w:val="0E1842"/>
          <w:spacing w:val="-16"/>
        </w:rPr>
        <w:t xml:space="preserve"> </w:t>
      </w:r>
      <w:r w:rsidR="00B857FE">
        <w:rPr>
          <w:color w:val="0E1842"/>
          <w:spacing w:val="-4"/>
          <w:w w:val="97"/>
        </w:rPr>
        <w:t>R</w:t>
      </w:r>
      <w:r w:rsidR="00B857FE">
        <w:rPr>
          <w:color w:val="0E1842"/>
          <w:spacing w:val="-4"/>
          <w:w w:val="96"/>
        </w:rPr>
        <w:t>i</w:t>
      </w:r>
      <w:r w:rsidR="00B857FE">
        <w:rPr>
          <w:color w:val="0E1842"/>
          <w:w w:val="96"/>
        </w:rPr>
        <w:t>s</w:t>
      </w:r>
      <w:r w:rsidR="00B857FE">
        <w:rPr>
          <w:color w:val="0E1842"/>
          <w:spacing w:val="49"/>
          <w:w w:val="95"/>
        </w:rPr>
        <w:t>k</w:t>
      </w:r>
      <w:r w:rsidR="00B857FE">
        <w:rPr>
          <w:color w:val="0E1842"/>
          <w:w w:val="96"/>
          <w:position w:val="25"/>
          <w:sz w:val="26"/>
        </w:rPr>
        <w:t>®</w:t>
      </w:r>
      <w:r w:rsidR="00B857FE">
        <w:rPr>
          <w:color w:val="0E1842"/>
          <w:spacing w:val="-4"/>
          <w:position w:val="25"/>
          <w:sz w:val="26"/>
        </w:rPr>
        <w:t xml:space="preserve"> </w:t>
      </w:r>
      <w:r w:rsidR="00B857FE">
        <w:rPr>
          <w:color w:val="0E1842"/>
          <w:spacing w:val="-1"/>
          <w:w w:val="97"/>
        </w:rPr>
        <w:t>(</w:t>
      </w:r>
      <w:r w:rsidR="00B857FE">
        <w:rPr>
          <w:color w:val="0E1842"/>
          <w:spacing w:val="-17"/>
        </w:rPr>
        <w:t>S</w:t>
      </w:r>
      <w:r w:rsidR="00B857FE">
        <w:rPr>
          <w:color w:val="0E1842"/>
          <w:spacing w:val="-5"/>
          <w:w w:val="97"/>
        </w:rPr>
        <w:t>A</w:t>
      </w:r>
      <w:r w:rsidR="00B857FE">
        <w:rPr>
          <w:color w:val="0E1842"/>
          <w:spacing w:val="-10"/>
          <w:w w:val="98"/>
        </w:rPr>
        <w:t>F</w:t>
      </w:r>
      <w:r w:rsidR="00B857FE">
        <w:rPr>
          <w:color w:val="0E1842"/>
          <w:spacing w:val="-4"/>
          <w:w w:val="98"/>
        </w:rPr>
        <w:t>E</w:t>
      </w:r>
      <w:r w:rsidR="00B857FE">
        <w:rPr>
          <w:color w:val="0E1842"/>
          <w:spacing w:val="-4"/>
          <w:w w:val="97"/>
        </w:rPr>
        <w:t>R</w:t>
      </w:r>
      <w:r w:rsidR="00B857FE">
        <w:rPr>
          <w:color w:val="0E1842"/>
          <w:spacing w:val="-4"/>
          <w:w w:val="97"/>
          <w:position w:val="14"/>
          <w:sz w:val="40"/>
        </w:rPr>
        <w:t>™</w:t>
      </w:r>
      <w:r w:rsidR="00B857FE">
        <w:rPr>
          <w:color w:val="0E1842"/>
          <w:w w:val="97"/>
        </w:rPr>
        <w:t>)</w:t>
      </w:r>
    </w:p>
    <w:p w:rsidR="008914C9" w:rsidRDefault="008914C9">
      <w:pPr>
        <w:pStyle w:val="BodyText"/>
        <w:rPr>
          <w:i/>
          <w:sz w:val="70"/>
        </w:rPr>
      </w:pPr>
    </w:p>
    <w:p w:rsidR="008914C9" w:rsidRDefault="008914C9">
      <w:pPr>
        <w:pStyle w:val="BodyText"/>
        <w:rPr>
          <w:i/>
          <w:sz w:val="70"/>
        </w:rPr>
      </w:pPr>
    </w:p>
    <w:p w:rsidR="008914C9" w:rsidRDefault="008914C9">
      <w:pPr>
        <w:pStyle w:val="BodyText"/>
        <w:rPr>
          <w:i/>
          <w:sz w:val="70"/>
        </w:rPr>
      </w:pPr>
    </w:p>
    <w:p w:rsidR="008914C9" w:rsidRDefault="008914C9">
      <w:pPr>
        <w:pStyle w:val="BodyText"/>
        <w:rPr>
          <w:i/>
          <w:sz w:val="70"/>
        </w:rPr>
      </w:pPr>
    </w:p>
    <w:p w:rsidR="008914C9" w:rsidRDefault="008914C9">
      <w:pPr>
        <w:pStyle w:val="BodyText"/>
        <w:spacing w:before="1"/>
        <w:rPr>
          <w:i/>
          <w:sz w:val="67"/>
        </w:rPr>
      </w:pPr>
    </w:p>
    <w:p w:rsidR="00DF389D" w:rsidRPr="00DF389D" w:rsidRDefault="00B857FE" w:rsidP="00DF389D">
      <w:pPr>
        <w:ind w:left="4308" w:right="4304"/>
        <w:jc w:val="center"/>
        <w:rPr>
          <w:i/>
          <w:w w:val="95"/>
          <w:sz w:val="59"/>
        </w:rPr>
      </w:pPr>
      <w:r>
        <w:rPr>
          <w:i/>
          <w:w w:val="95"/>
          <w:sz w:val="59"/>
        </w:rPr>
        <w:t>SAFER MATRIX</w:t>
      </w:r>
    </w:p>
    <w:tbl>
      <w:tblPr>
        <w:tblStyle w:val="TableGrid"/>
        <w:tblW w:w="10890" w:type="dxa"/>
        <w:tblInd w:w="682" w:type="dxa"/>
        <w:tblLook w:val="04A0" w:firstRow="1" w:lastRow="0" w:firstColumn="1" w:lastColumn="0" w:noHBand="0" w:noVBand="1"/>
      </w:tblPr>
      <w:tblGrid>
        <w:gridCol w:w="720"/>
        <w:gridCol w:w="1440"/>
        <w:gridCol w:w="2970"/>
        <w:gridCol w:w="3060"/>
        <w:gridCol w:w="2700"/>
      </w:tblGrid>
      <w:tr w:rsidR="00DF389D" w:rsidTr="00DF389D">
        <w:trPr>
          <w:trHeight w:val="8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89D" w:rsidRDefault="00DF389D" w:rsidP="00FC6A5B"/>
        </w:tc>
        <w:tc>
          <w:tcPr>
            <w:tcW w:w="8730" w:type="dxa"/>
            <w:gridSpan w:val="3"/>
            <w:tcBorders>
              <w:left w:val="single" w:sz="4" w:space="0" w:color="auto"/>
            </w:tcBorders>
            <w:shd w:val="clear" w:color="auto" w:fill="A50021"/>
            <w:vAlign w:val="center"/>
          </w:tcPr>
          <w:p w:rsidR="00DF389D" w:rsidRDefault="00DF389D" w:rsidP="00FC6A5B">
            <w:pPr>
              <w:jc w:val="center"/>
            </w:pPr>
            <w:r w:rsidRPr="00096459">
              <w:rPr>
                <w:b/>
                <w:color w:val="000000" w:themeColor="text1"/>
              </w:rPr>
              <w:t>Immediate Threat to Life</w:t>
            </w:r>
            <w:r w:rsidRPr="00057F6F">
              <w:rPr>
                <w:color w:val="000000" w:themeColor="text1"/>
              </w:rPr>
              <w:t xml:space="preserve"> (a threat that represents immediate risk or may potentially have serious adverse on the health of the patient, resident, or individual served)</w:t>
            </w:r>
          </w:p>
        </w:tc>
      </w:tr>
      <w:tr w:rsidR="00DF389D" w:rsidTr="00DF389D">
        <w:trPr>
          <w:trHeight w:val="1568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DF389D" w:rsidRPr="00057F6F" w:rsidRDefault="00DF389D" w:rsidP="00DF389D">
            <w:pPr>
              <w:jc w:val="center"/>
              <w:rPr>
                <w:b/>
              </w:rPr>
            </w:pPr>
            <w:r w:rsidRPr="00057F6F">
              <w:rPr>
                <w:b/>
              </w:rPr>
              <w:t>Likelihood to Harm a Patient/Staff/Visitor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389D" w:rsidRPr="00057F6F" w:rsidRDefault="00DF389D" w:rsidP="00FC6A5B">
            <w:pPr>
              <w:jc w:val="center"/>
              <w:rPr>
                <w:b/>
              </w:rPr>
            </w:pPr>
            <w:r w:rsidRPr="00DF389D">
              <w:rPr>
                <w:rFonts w:ascii="Arial Narrow" w:hAnsi="Arial Narrow"/>
                <w:b/>
              </w:rPr>
              <w:t>HIGH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0000"/>
          </w:tcPr>
          <w:p w:rsidR="00DF389D" w:rsidRDefault="00DF389D" w:rsidP="00FC6A5B">
            <w:bookmarkStart w:id="0" w:name="_GoBack"/>
            <w:bookmarkEnd w:id="0"/>
          </w:p>
        </w:tc>
        <w:tc>
          <w:tcPr>
            <w:tcW w:w="3060" w:type="dxa"/>
            <w:shd w:val="clear" w:color="auto" w:fill="FF0000"/>
          </w:tcPr>
          <w:p w:rsidR="00DF389D" w:rsidRDefault="00DF389D" w:rsidP="00FC6A5B"/>
        </w:tc>
        <w:tc>
          <w:tcPr>
            <w:tcW w:w="2700" w:type="dxa"/>
            <w:shd w:val="clear" w:color="auto" w:fill="FF0000"/>
          </w:tcPr>
          <w:p w:rsidR="00DF389D" w:rsidRDefault="00DF389D" w:rsidP="00FC6A5B"/>
        </w:tc>
      </w:tr>
      <w:tr w:rsidR="00DF389D" w:rsidTr="00DF389D">
        <w:trPr>
          <w:trHeight w:val="1660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389D" w:rsidRPr="00057F6F" w:rsidRDefault="00DF389D" w:rsidP="00FC6A5B">
            <w:pPr>
              <w:jc w:val="center"/>
              <w:rPr>
                <w:b/>
              </w:rPr>
            </w:pPr>
            <w:r w:rsidRPr="00DF389D">
              <w:rPr>
                <w:rFonts w:ascii="Arial Narrow" w:hAnsi="Arial Narrow"/>
                <w:b/>
              </w:rPr>
              <w:t>MODERATE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FFC000"/>
          </w:tcPr>
          <w:p w:rsidR="00DF389D" w:rsidRDefault="00DF389D" w:rsidP="00FC6A5B">
            <w:pPr>
              <w:tabs>
                <w:tab w:val="left" w:pos="871"/>
              </w:tabs>
            </w:pPr>
          </w:p>
        </w:tc>
        <w:tc>
          <w:tcPr>
            <w:tcW w:w="3060" w:type="dxa"/>
            <w:shd w:val="clear" w:color="auto" w:fill="FF9933"/>
          </w:tcPr>
          <w:p w:rsidR="00DF389D" w:rsidRDefault="00DF389D" w:rsidP="00FC6A5B"/>
        </w:tc>
        <w:tc>
          <w:tcPr>
            <w:tcW w:w="2700" w:type="dxa"/>
            <w:shd w:val="clear" w:color="auto" w:fill="FF9933"/>
          </w:tcPr>
          <w:p w:rsidR="00DF389D" w:rsidRDefault="00DF389D" w:rsidP="00FC6A5B"/>
        </w:tc>
      </w:tr>
      <w:tr w:rsidR="00DF389D" w:rsidTr="00DF389D">
        <w:trPr>
          <w:trHeight w:val="156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389D" w:rsidRPr="00057F6F" w:rsidRDefault="00DF389D" w:rsidP="00FC6A5B">
            <w:pPr>
              <w:jc w:val="center"/>
              <w:rPr>
                <w:b/>
              </w:rPr>
            </w:pPr>
            <w:r w:rsidRPr="00DF389D">
              <w:rPr>
                <w:rFonts w:ascii="Arial Narrow" w:hAnsi="Arial Narrow"/>
                <w:b/>
              </w:rPr>
              <w:t>LOW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F389D" w:rsidRDefault="00DF389D" w:rsidP="00FC6A5B"/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C000"/>
          </w:tcPr>
          <w:p w:rsidR="00DF389D" w:rsidRDefault="00DF389D" w:rsidP="00FC6A5B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C000"/>
          </w:tcPr>
          <w:p w:rsidR="00DF389D" w:rsidRDefault="00DF389D" w:rsidP="00FC6A5B"/>
        </w:tc>
      </w:tr>
      <w:tr w:rsidR="00DF389D" w:rsidTr="00DF389D">
        <w:trPr>
          <w:trHeight w:val="6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89D" w:rsidRPr="00057F6F" w:rsidRDefault="00DF389D" w:rsidP="00FC6A5B">
            <w:pPr>
              <w:jc w:val="center"/>
              <w:rPr>
                <w:b/>
              </w:rPr>
            </w:pPr>
            <w:r w:rsidRPr="00DF389D">
              <w:rPr>
                <w:rFonts w:ascii="Arial Narrow" w:hAnsi="Arial Narrow"/>
                <w:b/>
              </w:rPr>
              <w:t>LIMITED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89D" w:rsidRPr="00057F6F" w:rsidRDefault="00DF389D" w:rsidP="00FC6A5B">
            <w:pPr>
              <w:jc w:val="center"/>
              <w:rPr>
                <w:b/>
              </w:rPr>
            </w:pPr>
            <w:r w:rsidRPr="00DF389D">
              <w:rPr>
                <w:rFonts w:ascii="Arial Narrow" w:hAnsi="Arial Narrow"/>
                <w:b/>
              </w:rPr>
              <w:t>PATTERN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89D" w:rsidRPr="00DF389D" w:rsidRDefault="00DF389D" w:rsidP="00FC6A5B">
            <w:pPr>
              <w:jc w:val="center"/>
              <w:rPr>
                <w:rFonts w:ascii="Arial Narrow" w:hAnsi="Arial Narrow"/>
                <w:b/>
              </w:rPr>
            </w:pPr>
            <w:r w:rsidRPr="00DF389D">
              <w:rPr>
                <w:rFonts w:ascii="Arial Narrow" w:hAnsi="Arial Narrow"/>
                <w:b/>
              </w:rPr>
              <w:t>WIDESPREAD</w:t>
            </w:r>
          </w:p>
        </w:tc>
      </w:tr>
      <w:tr w:rsidR="00DF389D" w:rsidTr="00DF389D">
        <w:trPr>
          <w:trHeight w:val="73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89D" w:rsidRDefault="00DF389D" w:rsidP="00FC6A5B"/>
        </w:tc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89D" w:rsidRPr="00057F6F" w:rsidRDefault="00DF389D" w:rsidP="00FC6A5B">
            <w:pPr>
              <w:jc w:val="center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</w:tbl>
    <w:p w:rsidR="008914C9" w:rsidRDefault="00DF389D">
      <w:pPr>
        <w:pStyle w:val="BodyText"/>
        <w:rPr>
          <w:sz w:val="20"/>
        </w:rPr>
      </w:pPr>
      <w:r>
        <w:pict>
          <v:shape id="_x0000_s1032" type="#_x0000_t202" style="position:absolute;margin-left:108.2pt;margin-top:3.9pt;width:447pt;height:82.85pt;z-index:-15728640;mso-wrap-distance-left:0;mso-wrap-distance-right:0;mso-position-horizontal-relative:page;mso-position-vertical-relative:text" fillcolor="#10253f" stroked="f">
            <v:textbox inset="0,0,0,0">
              <w:txbxContent>
                <w:p w:rsidR="008914C9" w:rsidRDefault="00B857FE">
                  <w:pPr>
                    <w:spacing w:before="70" w:line="328" w:lineRule="exact"/>
                    <w:ind w:left="150"/>
                    <w:rPr>
                      <w:i/>
                      <w:sz w:val="29"/>
                    </w:rPr>
                  </w:pPr>
                  <w:r>
                    <w:rPr>
                      <w:i/>
                      <w:color w:val="FFFFFF"/>
                      <w:w w:val="95"/>
                      <w:sz w:val="29"/>
                    </w:rPr>
                    <w:t>SAFER</w:t>
                  </w:r>
                  <w:r>
                    <w:rPr>
                      <w:i/>
                      <w:color w:val="FFFFFF"/>
                      <w:spacing w:val="8"/>
                      <w:w w:val="95"/>
                      <w:sz w:val="29"/>
                    </w:rPr>
                    <w:t xml:space="preserve"> </w:t>
                  </w:r>
                  <w:r>
                    <w:rPr>
                      <w:i/>
                      <w:color w:val="FFFFFF"/>
                      <w:w w:val="95"/>
                      <w:sz w:val="29"/>
                    </w:rPr>
                    <w:t>will</w:t>
                  </w:r>
                  <w:r>
                    <w:rPr>
                      <w:i/>
                      <w:color w:val="FFFFFF"/>
                      <w:spacing w:val="4"/>
                      <w:w w:val="95"/>
                      <w:sz w:val="29"/>
                    </w:rPr>
                    <w:t xml:space="preserve"> </w:t>
                  </w:r>
                  <w:r>
                    <w:rPr>
                      <w:i/>
                      <w:color w:val="FFFFFF"/>
                      <w:w w:val="95"/>
                      <w:sz w:val="29"/>
                    </w:rPr>
                    <w:t>help</w:t>
                  </w:r>
                  <w:r>
                    <w:rPr>
                      <w:i/>
                      <w:color w:val="FFFFFF"/>
                      <w:spacing w:val="4"/>
                      <w:w w:val="95"/>
                      <w:sz w:val="29"/>
                    </w:rPr>
                    <w:t xml:space="preserve"> </w:t>
                  </w:r>
                  <w:r>
                    <w:rPr>
                      <w:i/>
                      <w:color w:val="FFFFFF"/>
                      <w:w w:val="95"/>
                      <w:sz w:val="29"/>
                    </w:rPr>
                    <w:t>organizations:</w:t>
                  </w:r>
                </w:p>
                <w:p w:rsidR="008914C9" w:rsidRDefault="00B857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line="293" w:lineRule="exact"/>
                    <w:ind w:hanging="361"/>
                  </w:pPr>
                  <w:r>
                    <w:rPr>
                      <w:color w:val="FFFFFF"/>
                      <w:spacing w:val="-1"/>
                    </w:rPr>
                    <w:t>More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easily</w:t>
                  </w:r>
                  <w:r>
                    <w:rPr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identify</w:t>
                  </w:r>
                  <w:r>
                    <w:rPr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color w:val="FFFFFF"/>
                    </w:rPr>
                    <w:t>findings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with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higher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risk</w:t>
                  </w:r>
                </w:p>
                <w:p w:rsidR="008914C9" w:rsidRDefault="00B857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before="1"/>
                    <w:ind w:hanging="361"/>
                  </w:pPr>
                  <w:r>
                    <w:rPr>
                      <w:color w:val="FFFFFF"/>
                      <w:w w:val="95"/>
                    </w:rPr>
                    <w:t>Identify</w:t>
                  </w:r>
                  <w:r>
                    <w:rPr>
                      <w:color w:val="FFFFFF"/>
                      <w:spacing w:val="22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potential</w:t>
                  </w:r>
                  <w:r>
                    <w:rPr>
                      <w:color w:val="FFFFFF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for</w:t>
                  </w:r>
                  <w:r>
                    <w:rPr>
                      <w:color w:val="FFFFFF"/>
                      <w:spacing w:val="21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widespread</w:t>
                  </w:r>
                  <w:r>
                    <w:rPr>
                      <w:color w:val="FFFFFF"/>
                      <w:spacing w:val="21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quality</w:t>
                  </w:r>
                  <w:r>
                    <w:rPr>
                      <w:color w:val="FFFFFF"/>
                      <w:spacing w:val="22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initiatives</w:t>
                  </w:r>
                </w:p>
                <w:p w:rsidR="008914C9" w:rsidRDefault="00B857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before="1"/>
                    <w:ind w:hanging="361"/>
                  </w:pPr>
                  <w:r>
                    <w:rPr>
                      <w:color w:val="FFFFFF"/>
                      <w:spacing w:val="-1"/>
                    </w:rPr>
                    <w:t>Better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organize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survey</w:t>
                  </w:r>
                  <w:r>
                    <w:rPr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findings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</w:rPr>
                    <w:t>by</w:t>
                  </w:r>
                  <w:r>
                    <w:rPr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color w:val="FFFFFF"/>
                    </w:rPr>
                    <w:t>level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potential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</w:rPr>
                    <w:t>patient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impact</w:t>
                  </w:r>
                </w:p>
                <w:p w:rsidR="008914C9" w:rsidRDefault="00B857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before="2"/>
                    <w:ind w:hanging="361"/>
                  </w:pPr>
                  <w:r>
                    <w:rPr>
                      <w:color w:val="FFFFFF"/>
                    </w:rPr>
                    <w:t>Have,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</w:rPr>
                    <w:t>one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</w:rPr>
                    <w:t>comprehensive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visual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</w:rPr>
                    <w:t>representation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14"/>
                    </w:rPr>
                    <w:t xml:space="preserve"> </w:t>
                  </w:r>
                  <w:r>
                    <w:rPr>
                      <w:color w:val="FFFFFF"/>
                    </w:rPr>
                    <w:t>survey</w:t>
                  </w:r>
                  <w:r>
                    <w:rPr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color w:val="FFFFFF"/>
                    </w:rPr>
                    <w:t>findings</w:t>
                  </w:r>
                </w:p>
              </w:txbxContent>
            </v:textbox>
            <w10:wrap type="topAndBottom" anchorx="page"/>
          </v:shape>
        </w:pict>
      </w:r>
    </w:p>
    <w:p w:rsidR="008914C9" w:rsidRDefault="008914C9">
      <w:pPr>
        <w:pStyle w:val="BodyText"/>
        <w:spacing w:before="6"/>
        <w:rPr>
          <w:i/>
          <w:sz w:val="12"/>
        </w:rPr>
      </w:pPr>
    </w:p>
    <w:p w:rsidR="008914C9" w:rsidRDefault="008914C9">
      <w:pPr>
        <w:rPr>
          <w:sz w:val="12"/>
        </w:rPr>
        <w:sectPr w:rsidR="008914C9">
          <w:type w:val="continuous"/>
          <w:pgSz w:w="12240" w:h="15840"/>
          <w:pgMar w:top="540" w:right="0" w:bottom="0" w:left="0" w:header="720" w:footer="720" w:gutter="0"/>
          <w:cols w:space="720"/>
        </w:sectPr>
      </w:pPr>
    </w:p>
    <w:p w:rsidR="00A17798" w:rsidRPr="00BC6398" w:rsidRDefault="00B857FE" w:rsidP="00A17798">
      <w:pPr>
        <w:spacing w:before="82"/>
        <w:ind w:left="3792" w:hanging="2427"/>
        <w:rPr>
          <w:color w:val="244061"/>
          <w:sz w:val="48"/>
        </w:rPr>
      </w:pPr>
      <w:r>
        <w:rPr>
          <w:color w:val="244061"/>
          <w:w w:val="95"/>
          <w:sz w:val="48"/>
        </w:rPr>
        <w:lastRenderedPageBreak/>
        <w:t>Safer</w:t>
      </w:r>
      <w:r>
        <w:rPr>
          <w:color w:val="244061"/>
          <w:spacing w:val="58"/>
          <w:w w:val="95"/>
          <w:sz w:val="48"/>
        </w:rPr>
        <w:t xml:space="preserve"> </w:t>
      </w:r>
      <w:r>
        <w:rPr>
          <w:color w:val="244061"/>
          <w:w w:val="95"/>
          <w:sz w:val="48"/>
        </w:rPr>
        <w:t>Analysis</w:t>
      </w:r>
      <w:r>
        <w:rPr>
          <w:color w:val="244061"/>
          <w:spacing w:val="59"/>
          <w:w w:val="95"/>
          <w:sz w:val="48"/>
        </w:rPr>
        <w:t xml:space="preserve"> </w:t>
      </w:r>
      <w:r>
        <w:rPr>
          <w:color w:val="244061"/>
          <w:w w:val="95"/>
          <w:sz w:val="48"/>
        </w:rPr>
        <w:t>for</w:t>
      </w:r>
      <w:r>
        <w:rPr>
          <w:color w:val="244061"/>
          <w:spacing w:val="58"/>
          <w:w w:val="95"/>
          <w:sz w:val="48"/>
        </w:rPr>
        <w:t xml:space="preserve"> </w:t>
      </w:r>
      <w:r>
        <w:rPr>
          <w:color w:val="244061"/>
          <w:w w:val="95"/>
          <w:sz w:val="48"/>
        </w:rPr>
        <w:t>Evaluating</w:t>
      </w:r>
      <w:r>
        <w:rPr>
          <w:color w:val="244061"/>
          <w:spacing w:val="57"/>
          <w:w w:val="95"/>
          <w:sz w:val="48"/>
        </w:rPr>
        <w:t xml:space="preserve"> </w:t>
      </w:r>
      <w:r>
        <w:rPr>
          <w:color w:val="244061"/>
          <w:w w:val="95"/>
          <w:sz w:val="48"/>
        </w:rPr>
        <w:t>Risk</w:t>
      </w:r>
      <w:r>
        <w:rPr>
          <w:color w:val="0E1842"/>
          <w:w w:val="95"/>
          <w:position w:val="25"/>
          <w:sz w:val="48"/>
        </w:rPr>
        <w:t>®</w:t>
      </w:r>
      <w:r>
        <w:rPr>
          <w:color w:val="244061"/>
          <w:w w:val="95"/>
          <w:sz w:val="48"/>
        </w:rPr>
        <w:t>–</w:t>
      </w:r>
      <w:r>
        <w:rPr>
          <w:color w:val="244061"/>
          <w:spacing w:val="58"/>
          <w:w w:val="95"/>
          <w:sz w:val="48"/>
        </w:rPr>
        <w:t xml:space="preserve"> </w:t>
      </w:r>
      <w:r>
        <w:rPr>
          <w:color w:val="244061"/>
          <w:w w:val="95"/>
          <w:sz w:val="48"/>
        </w:rPr>
        <w:t>(SAFER)</w:t>
      </w:r>
      <w:r>
        <w:rPr>
          <w:color w:val="0E1842"/>
          <w:w w:val="95"/>
          <w:position w:val="14"/>
          <w:sz w:val="48"/>
        </w:rPr>
        <w:t>™</w:t>
      </w:r>
      <w:r>
        <w:rPr>
          <w:color w:val="0E1842"/>
          <w:spacing w:val="-111"/>
          <w:w w:val="95"/>
          <w:position w:val="14"/>
          <w:sz w:val="48"/>
        </w:rPr>
        <w:t xml:space="preserve"> </w:t>
      </w:r>
      <w:r>
        <w:rPr>
          <w:color w:val="244061"/>
          <w:sz w:val="48"/>
        </w:rPr>
        <w:t>Operational</w:t>
      </w:r>
      <w:r>
        <w:rPr>
          <w:color w:val="244061"/>
          <w:spacing w:val="-3"/>
          <w:sz w:val="48"/>
        </w:rPr>
        <w:t xml:space="preserve"> </w:t>
      </w:r>
      <w:r>
        <w:rPr>
          <w:color w:val="244061"/>
          <w:sz w:val="48"/>
        </w:rPr>
        <w:t>Definitions</w:t>
      </w:r>
    </w:p>
    <w:tbl>
      <w:tblPr>
        <w:tblStyle w:val="TableGrid"/>
        <w:tblW w:w="0" w:type="auto"/>
        <w:tblInd w:w="144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5386"/>
      </w:tblGrid>
      <w:tr w:rsidR="00FA3615" w:rsidRPr="002100D7" w:rsidTr="00A17798">
        <w:trPr>
          <w:trHeight w:val="366"/>
        </w:trPr>
        <w:tc>
          <w:tcPr>
            <w:tcW w:w="10084" w:type="dxa"/>
            <w:gridSpan w:val="3"/>
            <w:tcBorders>
              <w:bottom w:val="nil"/>
            </w:tcBorders>
            <w:shd w:val="clear" w:color="auto" w:fill="F79646" w:themeFill="accent6"/>
            <w:vAlign w:val="center"/>
          </w:tcPr>
          <w:p w:rsidR="00FA3615" w:rsidRPr="00FA3615" w:rsidRDefault="00FA3615" w:rsidP="00FA3615">
            <w:pPr>
              <w:spacing w:before="82"/>
              <w:jc w:val="center"/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LIKELIHOOD TO HARM</w:t>
            </w:r>
          </w:p>
        </w:tc>
      </w:tr>
      <w:tr w:rsidR="00FA3615" w:rsidRPr="00FA3615" w:rsidTr="00A17798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F02DF" w:rsidRPr="00FA3615" w:rsidRDefault="00FA3615" w:rsidP="00894C54">
            <w:pPr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Category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F02DF" w:rsidRPr="00FA3615" w:rsidRDefault="00FA3615" w:rsidP="00894C54">
            <w:pPr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Definition</w:t>
            </w:r>
          </w:p>
        </w:tc>
        <w:tc>
          <w:tcPr>
            <w:tcW w:w="5386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2DF" w:rsidRPr="00FA3615" w:rsidRDefault="00FA3615" w:rsidP="00894C54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Further Guidance</w:t>
            </w:r>
          </w:p>
        </w:tc>
      </w:tr>
      <w:tr w:rsidR="001F02DF" w:rsidRPr="002100D7" w:rsidTr="00A17798">
        <w:trPr>
          <w:trHeight w:val="680"/>
        </w:trPr>
        <w:tc>
          <w:tcPr>
            <w:tcW w:w="1818" w:type="dxa"/>
            <w:tcBorders>
              <w:top w:val="nil"/>
            </w:tcBorders>
          </w:tcPr>
          <w:p w:rsidR="001F02DF" w:rsidRPr="00FA3615" w:rsidRDefault="002100D7">
            <w:pPr>
              <w:spacing w:before="82"/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LOW</w:t>
            </w:r>
          </w:p>
        </w:tc>
        <w:tc>
          <w:tcPr>
            <w:tcW w:w="2880" w:type="dxa"/>
            <w:tcBorders>
              <w:top w:val="nil"/>
            </w:tcBorders>
          </w:tcPr>
          <w:p w:rsidR="001F02DF" w:rsidRPr="002100D7" w:rsidRDefault="002100D7">
            <w:p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Harm could happen, but would be rare</w:t>
            </w:r>
          </w:p>
        </w:tc>
        <w:tc>
          <w:tcPr>
            <w:tcW w:w="5386" w:type="dxa"/>
            <w:tcBorders>
              <w:top w:val="nil"/>
            </w:tcBorders>
          </w:tcPr>
          <w:p w:rsidR="001F02DF" w:rsidRDefault="00FA3615" w:rsidP="00FA3615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Undermines safety / quality or contributes to an unsafe environment but very unlikely to directly contribute to harm</w:t>
            </w:r>
          </w:p>
          <w:p w:rsidR="00FA3615" w:rsidRDefault="00FA3615" w:rsidP="00FA3615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It would be rare for any actual patient harm to occur as a result of the deficiency</w:t>
            </w:r>
          </w:p>
          <w:p w:rsidR="00FA3615" w:rsidRPr="00FA3615" w:rsidRDefault="00FA3615" w:rsidP="00FA3615">
            <w:pPr>
              <w:pStyle w:val="ListParagraph"/>
              <w:spacing w:before="82"/>
              <w:ind w:left="720"/>
              <w:rPr>
                <w:rFonts w:ascii="Arial Narrow" w:hAnsi="Arial Narrow"/>
                <w:sz w:val="24"/>
              </w:rPr>
            </w:pPr>
          </w:p>
        </w:tc>
      </w:tr>
      <w:tr w:rsidR="001F02DF" w:rsidRPr="002100D7" w:rsidTr="00A17798">
        <w:trPr>
          <w:trHeight w:val="696"/>
        </w:trPr>
        <w:tc>
          <w:tcPr>
            <w:tcW w:w="1818" w:type="dxa"/>
          </w:tcPr>
          <w:p w:rsidR="001F02DF" w:rsidRPr="00FA3615" w:rsidRDefault="002100D7">
            <w:pPr>
              <w:spacing w:before="82"/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MODERATE</w:t>
            </w:r>
          </w:p>
        </w:tc>
        <w:tc>
          <w:tcPr>
            <w:tcW w:w="2880" w:type="dxa"/>
          </w:tcPr>
          <w:p w:rsidR="001F02DF" w:rsidRDefault="002100D7">
            <w:p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Harm could happen occasionally</w:t>
            </w:r>
          </w:p>
          <w:p w:rsidR="002100D7" w:rsidRPr="002100D7" w:rsidRDefault="002100D7">
            <w:pPr>
              <w:spacing w:before="82"/>
              <w:rPr>
                <w:rFonts w:ascii="Arial Narrow" w:hAnsi="Arial Narrow"/>
                <w:sz w:val="24"/>
              </w:rPr>
            </w:pPr>
          </w:p>
        </w:tc>
        <w:tc>
          <w:tcPr>
            <w:tcW w:w="5386" w:type="dxa"/>
          </w:tcPr>
          <w:p w:rsidR="001F02DF" w:rsidRDefault="00B30BDF" w:rsidP="00FA3615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Could cause harm directly but more likely to cause</w:t>
            </w:r>
            <w:r w:rsidR="009443F9">
              <w:rPr>
                <w:rFonts w:ascii="Arial Narrow" w:hAnsi="Arial Narrow"/>
                <w:sz w:val="24"/>
              </w:rPr>
              <w:t xml:space="preserve"> harm as a contributing factor in the presence of special circumstances or additional failures.</w:t>
            </w:r>
          </w:p>
          <w:p w:rsidR="009443F9" w:rsidRDefault="009443F9" w:rsidP="009443F9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If the deficiency continues, it would be possible that harm could occur but only in certain situations and / or patients.</w:t>
            </w:r>
          </w:p>
          <w:p w:rsidR="009443F9" w:rsidRPr="009443F9" w:rsidRDefault="009443F9" w:rsidP="009443F9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</w:p>
        </w:tc>
      </w:tr>
      <w:tr w:rsidR="001F02DF" w:rsidRPr="002100D7" w:rsidTr="00A17798">
        <w:trPr>
          <w:trHeight w:val="680"/>
        </w:trPr>
        <w:tc>
          <w:tcPr>
            <w:tcW w:w="1818" w:type="dxa"/>
          </w:tcPr>
          <w:p w:rsidR="001F02DF" w:rsidRPr="00FA3615" w:rsidRDefault="002100D7">
            <w:pPr>
              <w:spacing w:before="82"/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HI</w:t>
            </w:r>
            <w:r w:rsidR="00A17798">
              <w:rPr>
                <w:rFonts w:ascii="Arial Narrow" w:hAnsi="Arial Narrow"/>
                <w:b/>
                <w:sz w:val="24"/>
              </w:rPr>
              <w:t>GH</w:t>
            </w:r>
          </w:p>
        </w:tc>
        <w:tc>
          <w:tcPr>
            <w:tcW w:w="2880" w:type="dxa"/>
          </w:tcPr>
          <w:p w:rsidR="001F02DF" w:rsidRPr="002100D7" w:rsidRDefault="002100D7">
            <w:p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Harm could happen at any time</w:t>
            </w:r>
          </w:p>
        </w:tc>
        <w:tc>
          <w:tcPr>
            <w:tcW w:w="5386" w:type="dxa"/>
          </w:tcPr>
          <w:p w:rsidR="009443F9" w:rsidRDefault="009443F9" w:rsidP="00FA3615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Could directly lead to harm without the need for other significant circumstances or failures.</w:t>
            </w:r>
          </w:p>
          <w:p w:rsidR="009443F9" w:rsidRDefault="009443F9" w:rsidP="00FA3615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If the deficiency continues, it would be likely that harm could happen at any time to any patient (or di happen)</w:t>
            </w:r>
          </w:p>
          <w:p w:rsidR="001F02DF" w:rsidRPr="00FA3615" w:rsidRDefault="009443F9" w:rsidP="009443F9">
            <w:pPr>
              <w:pStyle w:val="ListParagraph"/>
              <w:spacing w:before="82"/>
              <w:ind w:left="72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:rsidR="00A17798" w:rsidRDefault="00A17798" w:rsidP="00A17798">
      <w:pPr>
        <w:pStyle w:val="BodyText"/>
        <w:rPr>
          <w:sz w:val="20"/>
        </w:rPr>
      </w:pPr>
    </w:p>
    <w:tbl>
      <w:tblPr>
        <w:tblStyle w:val="TableGrid"/>
        <w:tblW w:w="0" w:type="auto"/>
        <w:tblInd w:w="144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3320"/>
        <w:gridCol w:w="4996"/>
      </w:tblGrid>
      <w:tr w:rsidR="009443F9" w:rsidRPr="002100D7" w:rsidTr="00A17798">
        <w:trPr>
          <w:trHeight w:val="366"/>
        </w:trPr>
        <w:tc>
          <w:tcPr>
            <w:tcW w:w="10144" w:type="dxa"/>
            <w:gridSpan w:val="3"/>
            <w:tcBorders>
              <w:bottom w:val="nil"/>
            </w:tcBorders>
            <w:shd w:val="clear" w:color="auto" w:fill="F79646" w:themeFill="accent6"/>
            <w:vAlign w:val="center"/>
          </w:tcPr>
          <w:p w:rsidR="009443F9" w:rsidRPr="00FA3615" w:rsidRDefault="001A7A51" w:rsidP="006B208B">
            <w:pPr>
              <w:spacing w:before="8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SCOPE</w:t>
            </w:r>
          </w:p>
        </w:tc>
      </w:tr>
      <w:tr w:rsidR="009443F9" w:rsidRPr="00FA3615" w:rsidTr="00A17798">
        <w:trPr>
          <w:trHeight w:val="406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9443F9" w:rsidRPr="00FA3615" w:rsidRDefault="009443F9" w:rsidP="00894C54">
            <w:pPr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Category</w:t>
            </w:r>
          </w:p>
        </w:tc>
        <w:tc>
          <w:tcPr>
            <w:tcW w:w="332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443F9" w:rsidRPr="00FA3615" w:rsidRDefault="009443F9" w:rsidP="00894C54">
            <w:pPr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Definition</w:t>
            </w:r>
          </w:p>
        </w:tc>
        <w:tc>
          <w:tcPr>
            <w:tcW w:w="4996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3F9" w:rsidRPr="00FA3615" w:rsidRDefault="009443F9" w:rsidP="00894C54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A3615">
              <w:rPr>
                <w:rFonts w:ascii="Arial Narrow" w:hAnsi="Arial Narrow"/>
                <w:b/>
                <w:sz w:val="24"/>
              </w:rPr>
              <w:t>Further Guidance</w:t>
            </w:r>
          </w:p>
        </w:tc>
      </w:tr>
      <w:tr w:rsidR="009443F9" w:rsidRPr="002100D7" w:rsidTr="00A17798">
        <w:trPr>
          <w:trHeight w:val="687"/>
        </w:trPr>
        <w:tc>
          <w:tcPr>
            <w:tcW w:w="1828" w:type="dxa"/>
            <w:tcBorders>
              <w:top w:val="nil"/>
            </w:tcBorders>
          </w:tcPr>
          <w:p w:rsidR="009443F9" w:rsidRPr="00FA3615" w:rsidRDefault="001A7A51" w:rsidP="006B208B">
            <w:pPr>
              <w:spacing w:before="8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LIMITED</w:t>
            </w:r>
          </w:p>
        </w:tc>
        <w:tc>
          <w:tcPr>
            <w:tcW w:w="3320" w:type="dxa"/>
            <w:tcBorders>
              <w:top w:val="nil"/>
            </w:tcBorders>
          </w:tcPr>
          <w:p w:rsidR="009443F9" w:rsidRDefault="00244E97" w:rsidP="006B208B">
            <w:p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Unique occurrence that is not representative of routine / regular practice, and has the potential to impact only one or a very limited number of patients, visitors, staff</w:t>
            </w:r>
          </w:p>
          <w:p w:rsidR="00244E97" w:rsidRPr="002100D7" w:rsidRDefault="00244E97" w:rsidP="006B208B">
            <w:pPr>
              <w:spacing w:before="82"/>
              <w:rPr>
                <w:rFonts w:ascii="Arial Narrow" w:hAnsi="Arial Narrow"/>
                <w:sz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:rsidR="009443F9" w:rsidRDefault="00BC6398" w:rsidP="00BC6398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An outlier</w:t>
            </w:r>
          </w:p>
          <w:p w:rsidR="00BC6398" w:rsidRDefault="00BC6398" w:rsidP="00BC6398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Scope is isolated when one or a very limited number </w:t>
            </w:r>
            <w:r w:rsidR="000B3ED7">
              <w:rPr>
                <w:rFonts w:ascii="Arial Narrow" w:hAnsi="Arial Narrow"/>
                <w:sz w:val="24"/>
              </w:rPr>
              <w:t>of pati</w:t>
            </w:r>
            <w:r w:rsidR="00E53C5D">
              <w:rPr>
                <w:rFonts w:ascii="Arial Narrow" w:hAnsi="Arial Narrow"/>
                <w:sz w:val="24"/>
              </w:rPr>
              <w:t xml:space="preserve">ents are affected and / or one or a very limited number of staff are involved and / or the </w:t>
            </w:r>
            <w:r w:rsidR="002470AF">
              <w:rPr>
                <w:rFonts w:ascii="Arial Narrow" w:hAnsi="Arial Narrow"/>
                <w:sz w:val="24"/>
              </w:rPr>
              <w:t>deficiency occurs in a very limited number of locations.</w:t>
            </w:r>
          </w:p>
          <w:p w:rsidR="002470AF" w:rsidRPr="00BC6398" w:rsidRDefault="002470AF" w:rsidP="00114ED8">
            <w:pPr>
              <w:pStyle w:val="ListParagraph"/>
              <w:spacing w:before="82"/>
              <w:ind w:left="720"/>
              <w:rPr>
                <w:rFonts w:ascii="Arial Narrow" w:hAnsi="Arial Narrow"/>
                <w:sz w:val="24"/>
              </w:rPr>
            </w:pPr>
          </w:p>
        </w:tc>
      </w:tr>
      <w:tr w:rsidR="009443F9" w:rsidRPr="002100D7" w:rsidTr="00A17798">
        <w:trPr>
          <w:trHeight w:val="704"/>
        </w:trPr>
        <w:tc>
          <w:tcPr>
            <w:tcW w:w="1828" w:type="dxa"/>
          </w:tcPr>
          <w:p w:rsidR="009443F9" w:rsidRPr="00FA3615" w:rsidRDefault="001A7A51" w:rsidP="006B208B">
            <w:pPr>
              <w:spacing w:before="8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PATTERN</w:t>
            </w:r>
          </w:p>
        </w:tc>
        <w:tc>
          <w:tcPr>
            <w:tcW w:w="3320" w:type="dxa"/>
          </w:tcPr>
          <w:p w:rsidR="009443F9" w:rsidRDefault="00244E97" w:rsidP="006B208B">
            <w:p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Multiple occurrences of the deficiency or a single occurrence that has the potential to impact more than a limited number of patients, visitors, staff</w:t>
            </w:r>
          </w:p>
          <w:p w:rsidR="00244E97" w:rsidRPr="002100D7" w:rsidRDefault="00244E97" w:rsidP="006B208B">
            <w:pPr>
              <w:spacing w:before="82"/>
              <w:rPr>
                <w:rFonts w:ascii="Arial Narrow" w:hAnsi="Arial Narrow"/>
                <w:sz w:val="24"/>
              </w:rPr>
            </w:pPr>
          </w:p>
        </w:tc>
        <w:tc>
          <w:tcPr>
            <w:tcW w:w="4996" w:type="dxa"/>
          </w:tcPr>
          <w:p w:rsidR="009443F9" w:rsidRDefault="00114ED8" w:rsidP="00BC6398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Process </w:t>
            </w:r>
            <w:r w:rsidR="00C800A4">
              <w:rPr>
                <w:rFonts w:ascii="Arial Narrow" w:hAnsi="Arial Narrow"/>
                <w:sz w:val="24"/>
              </w:rPr>
              <w:t>V</w:t>
            </w:r>
            <w:r>
              <w:rPr>
                <w:rFonts w:ascii="Arial Narrow" w:hAnsi="Arial Narrow"/>
                <w:sz w:val="24"/>
              </w:rPr>
              <w:t>ariation.</w:t>
            </w:r>
          </w:p>
          <w:p w:rsidR="00114ED8" w:rsidRDefault="00114ED8" w:rsidP="00BC6398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Scope is pattern when more than a very limited number of patients are affected</w:t>
            </w:r>
            <w:r w:rsidR="00C800A4">
              <w:rPr>
                <w:rFonts w:ascii="Arial Narrow" w:hAnsi="Arial Narrow"/>
                <w:sz w:val="24"/>
              </w:rPr>
              <w:t>,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C800A4">
              <w:rPr>
                <w:rFonts w:ascii="Arial Narrow" w:hAnsi="Arial Narrow"/>
                <w:sz w:val="24"/>
              </w:rPr>
              <w:t>a</w:t>
            </w:r>
            <w:r>
              <w:rPr>
                <w:rFonts w:ascii="Arial Narrow" w:hAnsi="Arial Narrow"/>
                <w:sz w:val="24"/>
              </w:rPr>
              <w:t>nd / or more than a very limited number of staff are involved</w:t>
            </w:r>
            <w:r w:rsidR="00F80D73">
              <w:rPr>
                <w:rFonts w:ascii="Arial Narrow" w:hAnsi="Arial Narrow"/>
                <w:sz w:val="24"/>
              </w:rPr>
              <w:t xml:space="preserve">, </w:t>
            </w:r>
            <w:r w:rsidR="00B7617C">
              <w:rPr>
                <w:rFonts w:ascii="Arial Narrow" w:hAnsi="Arial Narrow"/>
                <w:sz w:val="24"/>
              </w:rPr>
              <w:t xml:space="preserve">and / </w:t>
            </w:r>
            <w:r w:rsidR="00C800A4">
              <w:rPr>
                <w:rFonts w:ascii="Arial Narrow" w:hAnsi="Arial Narrow"/>
                <w:sz w:val="24"/>
              </w:rPr>
              <w:t>or the situation has occurred in several locations, and / or the same patient(s) have been affected by repeated occurrences of the same deficient practice</w:t>
            </w:r>
          </w:p>
          <w:p w:rsidR="00C800A4" w:rsidRPr="00C800A4" w:rsidRDefault="00C800A4" w:rsidP="00C800A4">
            <w:pPr>
              <w:spacing w:before="82"/>
              <w:ind w:left="360"/>
              <w:rPr>
                <w:rFonts w:ascii="Arial Narrow" w:hAnsi="Arial Narrow"/>
                <w:sz w:val="24"/>
              </w:rPr>
            </w:pPr>
          </w:p>
        </w:tc>
      </w:tr>
      <w:tr w:rsidR="009443F9" w:rsidRPr="002100D7" w:rsidTr="00A17798">
        <w:trPr>
          <w:trHeight w:val="687"/>
        </w:trPr>
        <w:tc>
          <w:tcPr>
            <w:tcW w:w="1828" w:type="dxa"/>
          </w:tcPr>
          <w:p w:rsidR="009443F9" w:rsidRPr="00FA3615" w:rsidRDefault="001A7A51" w:rsidP="006B208B">
            <w:pPr>
              <w:spacing w:before="8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WIDESPREAD</w:t>
            </w:r>
          </w:p>
        </w:tc>
        <w:tc>
          <w:tcPr>
            <w:tcW w:w="3320" w:type="dxa"/>
          </w:tcPr>
          <w:p w:rsidR="009443F9" w:rsidRDefault="00244E97" w:rsidP="006B208B">
            <w:p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Deficiency is pervasive in the facility or represents systemic failure or has the potential to impact most / all patients, visitors, staff</w:t>
            </w:r>
          </w:p>
          <w:p w:rsidR="00BC6398" w:rsidRPr="002100D7" w:rsidRDefault="00BC6398" w:rsidP="006B208B">
            <w:pPr>
              <w:spacing w:before="82"/>
              <w:rPr>
                <w:rFonts w:ascii="Arial Narrow" w:hAnsi="Arial Narrow"/>
                <w:sz w:val="24"/>
              </w:rPr>
            </w:pPr>
          </w:p>
        </w:tc>
        <w:tc>
          <w:tcPr>
            <w:tcW w:w="4996" w:type="dxa"/>
          </w:tcPr>
          <w:p w:rsidR="009443F9" w:rsidRDefault="00C800A4" w:rsidP="00BC6398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Process Failure.</w:t>
            </w:r>
          </w:p>
          <w:p w:rsidR="00C800A4" w:rsidRPr="00FA3615" w:rsidRDefault="00C800A4" w:rsidP="00BC6398">
            <w:pPr>
              <w:pStyle w:val="ListParagraph"/>
              <w:numPr>
                <w:ilvl w:val="0"/>
                <w:numId w:val="6"/>
              </w:numPr>
              <w:spacing w:before="82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Scope is widespread when the deficiency affects most / all patients, is pervasive in the facility or represents systemic failure. Widespread scope refers to the entire organization, not just a subset of patients or one unit.</w:t>
            </w:r>
          </w:p>
        </w:tc>
      </w:tr>
    </w:tbl>
    <w:p w:rsidR="009443F9" w:rsidRDefault="009443F9">
      <w:pPr>
        <w:pStyle w:val="BodyText"/>
        <w:ind w:left="1424"/>
        <w:rPr>
          <w:sz w:val="20"/>
        </w:rPr>
      </w:pPr>
    </w:p>
    <w:p w:rsidR="002B0E78" w:rsidRDefault="002B0E78" w:rsidP="002B0E78">
      <w:pPr>
        <w:pStyle w:val="BodyText"/>
        <w:rPr>
          <w:sz w:val="20"/>
        </w:rPr>
      </w:pPr>
    </w:p>
    <w:p w:rsidR="002B0E78" w:rsidRDefault="002B0E78" w:rsidP="002B0E78">
      <w:pPr>
        <w:pStyle w:val="BodyText"/>
        <w:rPr>
          <w:sz w:val="20"/>
        </w:rPr>
      </w:pPr>
    </w:p>
    <w:tbl>
      <w:tblPr>
        <w:tblStyle w:val="TableGrid"/>
        <w:tblW w:w="0" w:type="auto"/>
        <w:tblInd w:w="847" w:type="dxa"/>
        <w:tblLook w:val="04A0" w:firstRow="1" w:lastRow="0" w:firstColumn="1" w:lastColumn="0" w:noHBand="0" w:noVBand="1"/>
      </w:tblPr>
      <w:tblGrid>
        <w:gridCol w:w="3131"/>
        <w:gridCol w:w="7969"/>
      </w:tblGrid>
      <w:tr w:rsidR="002B0E78" w:rsidTr="001025F3">
        <w:trPr>
          <w:trHeight w:val="939"/>
        </w:trPr>
        <w:tc>
          <w:tcPr>
            <w:tcW w:w="3131" w:type="dxa"/>
            <w:shd w:val="clear" w:color="auto" w:fill="D9D9D9" w:themeFill="background1" w:themeFillShade="D9"/>
            <w:vAlign w:val="center"/>
          </w:tcPr>
          <w:p w:rsidR="002B0E78" w:rsidRPr="0069474C" w:rsidRDefault="002B0E78" w:rsidP="0069474C">
            <w:pPr>
              <w:pStyle w:val="BodyText"/>
              <w:jc w:val="center"/>
              <w:rPr>
                <w:rFonts w:ascii="Arial Narrow" w:hAnsi="Arial Narrow"/>
                <w:b/>
                <w:sz w:val="28"/>
                <w:u w:val="single"/>
              </w:rPr>
            </w:pPr>
            <w:r w:rsidRPr="0069474C">
              <w:rPr>
                <w:rFonts w:ascii="Arial Narrow" w:hAnsi="Arial Narrow"/>
                <w:b/>
                <w:sz w:val="28"/>
                <w:u w:val="single"/>
              </w:rPr>
              <w:t xml:space="preserve">SAFER Matrix </w:t>
            </w:r>
            <w:r w:rsidR="00E53C5D">
              <w:rPr>
                <w:rFonts w:ascii="Arial Narrow" w:hAnsi="Arial Narrow"/>
                <w:b/>
                <w:sz w:val="28"/>
                <w:u w:val="single"/>
              </w:rPr>
              <w:t>P</w:t>
            </w:r>
            <w:r w:rsidRPr="0069474C">
              <w:rPr>
                <w:rFonts w:ascii="Arial Narrow" w:hAnsi="Arial Narrow"/>
                <w:b/>
                <w:sz w:val="28"/>
                <w:u w:val="single"/>
              </w:rPr>
              <w:t>lacement</w:t>
            </w:r>
          </w:p>
        </w:tc>
        <w:tc>
          <w:tcPr>
            <w:tcW w:w="7969" w:type="dxa"/>
            <w:shd w:val="clear" w:color="auto" w:fill="D9D9D9" w:themeFill="background1" w:themeFillShade="D9"/>
            <w:vAlign w:val="center"/>
          </w:tcPr>
          <w:p w:rsidR="002B0E78" w:rsidRPr="0069474C" w:rsidRDefault="00E879C9" w:rsidP="0069474C">
            <w:pPr>
              <w:pStyle w:val="BodyText"/>
              <w:jc w:val="center"/>
              <w:rPr>
                <w:rFonts w:ascii="Arial Narrow" w:hAnsi="Arial Narrow"/>
                <w:b/>
                <w:sz w:val="28"/>
                <w:u w:val="single"/>
              </w:rPr>
            </w:pPr>
            <w:r w:rsidRPr="0069474C">
              <w:rPr>
                <w:rFonts w:ascii="Arial Narrow" w:hAnsi="Arial Narrow"/>
                <w:b/>
                <w:sz w:val="28"/>
                <w:u w:val="single"/>
              </w:rPr>
              <w:t>Required Follow-Up Activity</w:t>
            </w:r>
          </w:p>
        </w:tc>
      </w:tr>
      <w:tr w:rsidR="002B0E78" w:rsidTr="001025F3">
        <w:trPr>
          <w:trHeight w:val="939"/>
        </w:trPr>
        <w:tc>
          <w:tcPr>
            <w:tcW w:w="3131" w:type="dxa"/>
            <w:shd w:val="clear" w:color="auto" w:fill="FFFF00"/>
            <w:vAlign w:val="center"/>
          </w:tcPr>
          <w:p w:rsidR="002B0E78" w:rsidRPr="0069474C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LOW / LIMITED</w:t>
            </w:r>
          </w:p>
        </w:tc>
        <w:tc>
          <w:tcPr>
            <w:tcW w:w="7969" w:type="dxa"/>
          </w:tcPr>
          <w:p w:rsidR="002B0E78" w:rsidRDefault="00E879C9" w:rsidP="00E879C9">
            <w:pPr>
              <w:pStyle w:val="BodyText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60 day</w:t>
            </w:r>
            <w:r w:rsidR="0041386C">
              <w:rPr>
                <w:sz w:val="20"/>
              </w:rPr>
              <w:t>s</w:t>
            </w:r>
            <w:r>
              <w:rPr>
                <w:sz w:val="20"/>
              </w:rPr>
              <w:t xml:space="preserve"> Evidence of Standards Compliance (ESC)</w:t>
            </w:r>
          </w:p>
          <w:p w:rsidR="00E879C9" w:rsidRDefault="00E879C9" w:rsidP="00E879C9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 will include Who, What, When and How sections</w:t>
            </w:r>
          </w:p>
          <w:p w:rsidR="00E879C9" w:rsidRDefault="00E879C9" w:rsidP="00E879C9">
            <w:pPr>
              <w:pStyle w:val="BodyText"/>
              <w:ind w:left="720"/>
              <w:rPr>
                <w:sz w:val="20"/>
              </w:rPr>
            </w:pPr>
          </w:p>
        </w:tc>
      </w:tr>
      <w:tr w:rsidR="002B0E78" w:rsidTr="001025F3">
        <w:trPr>
          <w:trHeight w:val="876"/>
        </w:trPr>
        <w:tc>
          <w:tcPr>
            <w:tcW w:w="3131" w:type="dxa"/>
            <w:shd w:val="clear" w:color="auto" w:fill="FFCC00"/>
            <w:vAlign w:val="center"/>
          </w:tcPr>
          <w:p w:rsidR="002B0E78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MODERATE / LIMITED,</w:t>
            </w:r>
          </w:p>
          <w:p w:rsidR="0069474C" w:rsidRPr="0069474C" w:rsidRDefault="0069474C" w:rsidP="0069474C">
            <w:pPr>
              <w:pStyle w:val="BodyText"/>
              <w:jc w:val="center"/>
              <w:rPr>
                <w:sz w:val="20"/>
                <w:u w:val="single"/>
              </w:rPr>
            </w:pPr>
          </w:p>
          <w:p w:rsidR="002B0E78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LOW / PATTERN,</w:t>
            </w:r>
          </w:p>
          <w:p w:rsidR="0069474C" w:rsidRPr="0069474C" w:rsidRDefault="0069474C" w:rsidP="0069474C">
            <w:pPr>
              <w:pStyle w:val="BodyText"/>
              <w:jc w:val="center"/>
              <w:rPr>
                <w:sz w:val="20"/>
                <w:u w:val="single"/>
              </w:rPr>
            </w:pPr>
          </w:p>
          <w:p w:rsidR="002B0E78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LOW / WIDESPREAD</w:t>
            </w:r>
          </w:p>
          <w:p w:rsidR="0041386C" w:rsidRPr="0069474C" w:rsidRDefault="0041386C" w:rsidP="0069474C">
            <w:pPr>
              <w:pStyle w:val="BodyText"/>
              <w:jc w:val="center"/>
              <w:rPr>
                <w:sz w:val="20"/>
                <w:u w:val="single"/>
              </w:rPr>
            </w:pPr>
          </w:p>
        </w:tc>
        <w:tc>
          <w:tcPr>
            <w:tcW w:w="7969" w:type="dxa"/>
          </w:tcPr>
          <w:p w:rsidR="00E879C9" w:rsidRDefault="00E879C9" w:rsidP="00E879C9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60 day</w:t>
            </w:r>
            <w:r w:rsidR="0041386C">
              <w:rPr>
                <w:sz w:val="20"/>
              </w:rPr>
              <w:t>s</w:t>
            </w:r>
            <w:r>
              <w:rPr>
                <w:sz w:val="20"/>
              </w:rPr>
              <w:t xml:space="preserve"> Evidence of Standards Compliance (ESC)</w:t>
            </w:r>
          </w:p>
          <w:p w:rsidR="00E879C9" w:rsidRDefault="00E879C9" w:rsidP="00E879C9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 will include Who, What, When and How sections</w:t>
            </w:r>
          </w:p>
          <w:p w:rsidR="00E879C9" w:rsidRDefault="00E879C9" w:rsidP="00E879C9">
            <w:pPr>
              <w:pStyle w:val="BodyText"/>
              <w:ind w:left="1080"/>
              <w:rPr>
                <w:sz w:val="20"/>
              </w:rPr>
            </w:pPr>
          </w:p>
          <w:p w:rsidR="002B0E78" w:rsidRDefault="002B0E78" w:rsidP="00E879C9">
            <w:pPr>
              <w:pStyle w:val="BodyText"/>
              <w:ind w:left="720"/>
              <w:rPr>
                <w:sz w:val="20"/>
              </w:rPr>
            </w:pPr>
          </w:p>
        </w:tc>
      </w:tr>
      <w:tr w:rsidR="002B0E78" w:rsidTr="001025F3">
        <w:trPr>
          <w:trHeight w:val="939"/>
        </w:trPr>
        <w:tc>
          <w:tcPr>
            <w:tcW w:w="3131" w:type="dxa"/>
            <w:shd w:val="clear" w:color="auto" w:fill="FF9933"/>
            <w:vAlign w:val="center"/>
          </w:tcPr>
          <w:p w:rsidR="002B0E78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MODERATE / PATTERN,</w:t>
            </w:r>
          </w:p>
          <w:p w:rsidR="0069474C" w:rsidRPr="0069474C" w:rsidRDefault="0069474C" w:rsidP="0069474C">
            <w:pPr>
              <w:pStyle w:val="BodyText"/>
              <w:jc w:val="center"/>
              <w:rPr>
                <w:sz w:val="20"/>
                <w:u w:val="single"/>
              </w:rPr>
            </w:pPr>
          </w:p>
          <w:p w:rsidR="002B0E78" w:rsidRPr="0069474C" w:rsidRDefault="002B0E78" w:rsidP="001025F3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MODERATE /</w:t>
            </w:r>
            <w:r w:rsidR="001025F3">
              <w:rPr>
                <w:sz w:val="20"/>
                <w:u w:val="single"/>
              </w:rPr>
              <w:t xml:space="preserve"> </w:t>
            </w:r>
            <w:r w:rsidRPr="0069474C">
              <w:rPr>
                <w:sz w:val="20"/>
                <w:u w:val="single"/>
              </w:rPr>
              <w:t>WIDESPREAD</w:t>
            </w:r>
          </w:p>
        </w:tc>
        <w:tc>
          <w:tcPr>
            <w:tcW w:w="7969" w:type="dxa"/>
          </w:tcPr>
          <w:p w:rsidR="0069474C" w:rsidRDefault="0069474C" w:rsidP="0069474C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60 day</w:t>
            </w:r>
            <w:r w:rsidR="0041386C">
              <w:rPr>
                <w:sz w:val="20"/>
              </w:rPr>
              <w:t>s</w:t>
            </w:r>
            <w:r>
              <w:rPr>
                <w:sz w:val="20"/>
              </w:rPr>
              <w:t xml:space="preserve"> Evidence of Standards Compliance (ESC)</w:t>
            </w:r>
          </w:p>
          <w:p w:rsidR="0069474C" w:rsidRDefault="0069474C" w:rsidP="0069474C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 will include Who, What, When and How sections</w:t>
            </w:r>
          </w:p>
          <w:p w:rsidR="002B0E78" w:rsidRDefault="0069474C" w:rsidP="0069474C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ESC will also include two additional areas surrounding Leadership involvement and preventive Analysis</w:t>
            </w:r>
          </w:p>
          <w:p w:rsidR="0069474C" w:rsidRDefault="0069474C" w:rsidP="0069474C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Finding will be highlighted for potential review by surveyors on subsequent onsite surveys up to and including the next full triennial survey</w:t>
            </w:r>
          </w:p>
          <w:p w:rsidR="0069474C" w:rsidRDefault="0069474C" w:rsidP="0069474C">
            <w:pPr>
              <w:pStyle w:val="BodyText"/>
              <w:ind w:left="720"/>
              <w:rPr>
                <w:sz w:val="20"/>
              </w:rPr>
            </w:pPr>
          </w:p>
        </w:tc>
      </w:tr>
      <w:tr w:rsidR="002B0E78" w:rsidTr="001025F3">
        <w:trPr>
          <w:trHeight w:val="939"/>
        </w:trPr>
        <w:tc>
          <w:tcPr>
            <w:tcW w:w="3131" w:type="dxa"/>
            <w:shd w:val="clear" w:color="auto" w:fill="FF0000"/>
            <w:vAlign w:val="center"/>
          </w:tcPr>
          <w:p w:rsidR="002B0E78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HIGH / LIMITED,</w:t>
            </w:r>
          </w:p>
          <w:p w:rsidR="0069474C" w:rsidRPr="0069474C" w:rsidRDefault="0069474C" w:rsidP="0069474C">
            <w:pPr>
              <w:pStyle w:val="BodyText"/>
              <w:jc w:val="center"/>
              <w:rPr>
                <w:sz w:val="20"/>
                <w:u w:val="single"/>
              </w:rPr>
            </w:pPr>
          </w:p>
          <w:p w:rsidR="002B0E78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HIGH / PATTERN,</w:t>
            </w:r>
          </w:p>
          <w:p w:rsidR="0069474C" w:rsidRPr="0069474C" w:rsidRDefault="0069474C" w:rsidP="0069474C">
            <w:pPr>
              <w:pStyle w:val="BodyText"/>
              <w:jc w:val="center"/>
              <w:rPr>
                <w:sz w:val="20"/>
                <w:u w:val="single"/>
              </w:rPr>
            </w:pPr>
          </w:p>
          <w:p w:rsidR="002B0E78" w:rsidRPr="0069474C" w:rsidRDefault="002B0E78" w:rsidP="0069474C">
            <w:pPr>
              <w:pStyle w:val="BodyText"/>
              <w:jc w:val="center"/>
              <w:rPr>
                <w:sz w:val="20"/>
                <w:u w:val="single"/>
              </w:rPr>
            </w:pPr>
            <w:r w:rsidRPr="0069474C">
              <w:rPr>
                <w:sz w:val="20"/>
                <w:u w:val="single"/>
              </w:rPr>
              <w:t>HIGH / WIDESPREAD</w:t>
            </w:r>
          </w:p>
        </w:tc>
        <w:tc>
          <w:tcPr>
            <w:tcW w:w="7969" w:type="dxa"/>
          </w:tcPr>
          <w:p w:rsidR="0069474C" w:rsidRDefault="0069474C" w:rsidP="0069474C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60 day</w:t>
            </w:r>
            <w:r w:rsidR="0041386C">
              <w:rPr>
                <w:sz w:val="20"/>
              </w:rPr>
              <w:t>s</w:t>
            </w:r>
            <w:r>
              <w:rPr>
                <w:sz w:val="20"/>
              </w:rPr>
              <w:t xml:space="preserve"> Evidence of Standards Compliance (ESC)</w:t>
            </w:r>
          </w:p>
          <w:p w:rsidR="0069474C" w:rsidRDefault="0069474C" w:rsidP="0069474C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 will include Who, What, When and How sections</w:t>
            </w:r>
          </w:p>
          <w:p w:rsidR="0069474C" w:rsidRDefault="0069474C" w:rsidP="0069474C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ESC will also include two additional areas surrounding Leadership involvement and preventive Analysis</w:t>
            </w:r>
          </w:p>
          <w:p w:rsidR="0069474C" w:rsidRDefault="0069474C" w:rsidP="0069474C">
            <w:pPr>
              <w:pStyle w:val="BodyText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Finding will be highlighted for potential review by surveyors on subsequent onsite surveys up to and including the next full triennial survey</w:t>
            </w:r>
          </w:p>
          <w:p w:rsidR="002B0E78" w:rsidRDefault="002B0E78" w:rsidP="002B0E78">
            <w:pPr>
              <w:pStyle w:val="BodyText"/>
              <w:rPr>
                <w:sz w:val="20"/>
              </w:rPr>
            </w:pPr>
          </w:p>
        </w:tc>
      </w:tr>
    </w:tbl>
    <w:p w:rsidR="00BD248A" w:rsidRDefault="00BD248A" w:rsidP="002B0E78">
      <w:pPr>
        <w:pStyle w:val="BodyText"/>
        <w:rPr>
          <w:sz w:val="20"/>
        </w:rPr>
      </w:pPr>
    </w:p>
    <w:sectPr w:rsidR="00BD248A">
      <w:pgSz w:w="12240" w:h="15840"/>
      <w:pgMar w:top="7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2BA"/>
    <w:multiLevelType w:val="hybridMultilevel"/>
    <w:tmpl w:val="70782AC6"/>
    <w:lvl w:ilvl="0" w:tplc="7CC28F2E">
      <w:numFmt w:val="bullet"/>
      <w:lvlText w:val="-"/>
      <w:lvlJc w:val="left"/>
      <w:pPr>
        <w:ind w:left="720" w:hanging="360"/>
      </w:pPr>
      <w:rPr>
        <w:rFonts w:ascii="Arial Narrow" w:eastAsia="Franklin Gothic Medium" w:hAnsi="Arial Narrow" w:cs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2247"/>
    <w:multiLevelType w:val="hybridMultilevel"/>
    <w:tmpl w:val="570E4C08"/>
    <w:lvl w:ilvl="0" w:tplc="3CB8B144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color w:val="FFFFFF"/>
        <w:w w:val="100"/>
        <w:sz w:val="24"/>
        <w:szCs w:val="24"/>
        <w:lang w:val="en-US" w:eastAsia="en-US" w:bidi="ar-SA"/>
      </w:rPr>
    </w:lvl>
    <w:lvl w:ilvl="1" w:tplc="1F72BB44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A9A0E9B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AECE8FD8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D562D35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5F6E65A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C39CF210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F3B29272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8" w:tplc="8B048BCC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920465"/>
    <w:multiLevelType w:val="hybridMultilevel"/>
    <w:tmpl w:val="FE1C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20C87"/>
    <w:multiLevelType w:val="hybridMultilevel"/>
    <w:tmpl w:val="AC0E4808"/>
    <w:lvl w:ilvl="0" w:tplc="F410ACE0">
      <w:numFmt w:val="bullet"/>
      <w:lvlText w:val="-"/>
      <w:lvlJc w:val="left"/>
      <w:pPr>
        <w:ind w:left="108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3908CA"/>
    <w:multiLevelType w:val="hybridMultilevel"/>
    <w:tmpl w:val="CA7E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75538"/>
    <w:multiLevelType w:val="hybridMultilevel"/>
    <w:tmpl w:val="325C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4C9"/>
    <w:rsid w:val="000B3ED7"/>
    <w:rsid w:val="001025F3"/>
    <w:rsid w:val="00114ED8"/>
    <w:rsid w:val="00172A0C"/>
    <w:rsid w:val="001A7A51"/>
    <w:rsid w:val="001F02DF"/>
    <w:rsid w:val="002100D7"/>
    <w:rsid w:val="00244E97"/>
    <w:rsid w:val="002470AF"/>
    <w:rsid w:val="002B0E78"/>
    <w:rsid w:val="003B5238"/>
    <w:rsid w:val="0041386C"/>
    <w:rsid w:val="005B65C1"/>
    <w:rsid w:val="0069474C"/>
    <w:rsid w:val="008914C9"/>
    <w:rsid w:val="00894C54"/>
    <w:rsid w:val="009443F9"/>
    <w:rsid w:val="00A17798"/>
    <w:rsid w:val="00AD684D"/>
    <w:rsid w:val="00B30BDF"/>
    <w:rsid w:val="00B7617C"/>
    <w:rsid w:val="00B857FE"/>
    <w:rsid w:val="00BC6398"/>
    <w:rsid w:val="00BD248A"/>
    <w:rsid w:val="00C800A4"/>
    <w:rsid w:val="00D62676"/>
    <w:rsid w:val="00DE796D"/>
    <w:rsid w:val="00DF389D"/>
    <w:rsid w:val="00E53C5D"/>
    <w:rsid w:val="00E879C9"/>
    <w:rsid w:val="00F80D73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BE64AD2"/>
  <w15:docId w15:val="{0B6499D4-7255-4EF1-BF5B-DE1B0E5F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352"/>
    </w:pPr>
    <w:rPr>
      <w:i/>
      <w:iCs/>
      <w:sz w:val="61"/>
      <w:szCs w:val="6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B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Colleen</dc:creator>
  <cp:lastModifiedBy>JAB HCTM</cp:lastModifiedBy>
  <cp:revision>19</cp:revision>
  <dcterms:created xsi:type="dcterms:W3CDTF">2024-04-24T05:43:00Z</dcterms:created>
  <dcterms:modified xsi:type="dcterms:W3CDTF">2024-05-16T01:07:00Z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2024-04-24T00:00:00Z</vt:filetime>
  </property>
</Properties>
</file>